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C2" w:rsidRDefault="004370C2" w:rsidP="004370C2">
      <w:pPr>
        <w:jc w:val="center"/>
        <w:rPr>
          <w:rStyle w:val="Strong"/>
          <w:rtl/>
        </w:rPr>
      </w:pPr>
      <w:r>
        <w:rPr>
          <w:rStyle w:val="Strong"/>
          <w:rtl/>
        </w:rPr>
        <w:t>آیین‌نامه اجرایی ماده (۲۶) قانون ارتقای سلامت نظام اداری و مقابله با فساد</w:t>
      </w:r>
      <w:bookmarkStart w:id="0" w:name="_GoBack"/>
      <w:bookmarkEnd w:id="0"/>
    </w:p>
    <w:p w:rsidR="00FA6266" w:rsidRDefault="004370C2">
      <w:r>
        <w:rPr>
          <w:rStyle w:val="Strong"/>
          <w:rtl/>
        </w:rPr>
        <w:t>ماده۱ـ</w:t>
      </w:r>
      <w:r>
        <w:rPr>
          <w:rtl/>
        </w:rPr>
        <w:t xml:space="preserve"> در این آیین‌نامه اصطلاحات زیر در معانی مشروح مربوط به کار می‌روند</w:t>
      </w:r>
      <w:r>
        <w:t>:</w:t>
      </w:r>
      <w:r>
        <w:br/>
      </w:r>
      <w:r>
        <w:rPr>
          <w:rtl/>
        </w:rPr>
        <w:t>الف ـ قانون: قانون ارتقای سلامت نظام اداری و مقابله با فساد ـ مصوب۱۳۹۰ـ</w:t>
      </w:r>
      <w:r>
        <w:br/>
      </w:r>
      <w:r>
        <w:rPr>
          <w:rtl/>
        </w:rPr>
        <w:t>ب ـ مرتکبین فساد: افراد موضوع بند (الف) ماده (۱) قانون که تخلف یا جرم آنان در مراجع صالح اثبات شود</w:t>
      </w:r>
      <w:r>
        <w:t>.</w:t>
      </w:r>
      <w:r>
        <w:br/>
      </w:r>
      <w:r>
        <w:rPr>
          <w:rtl/>
        </w:rPr>
        <w:t>پ ـ شورای دستگاه‌های نظارتی: شورای موضوع ماده (۲۸) قانون</w:t>
      </w:r>
      <w:r>
        <w:t>.</w:t>
      </w:r>
      <w:r>
        <w:br/>
      </w:r>
      <w:r>
        <w:rPr>
          <w:rtl/>
        </w:rPr>
        <w:t>ت ـ پایگاه‌های اطلاعاتی مکانیزه: پایگاه‌های اطلاعاتی موضوع قانون</w:t>
      </w:r>
      <w:r>
        <w:t>.</w:t>
      </w:r>
      <w:r>
        <w:br/>
      </w:r>
      <w:r>
        <w:rPr>
          <w:rtl/>
        </w:rPr>
        <w:t>ث ـ کمیته: کمیته موضوع بند (الف) ماده (۱) تصویب‌نامه شماره ۱۹۲۰۸۷/ت۵۰۳۲۸هـ مورخ ۲۸/۱۲/۱۳۹۲</w:t>
      </w:r>
      <w:r>
        <w:t>.</w:t>
      </w:r>
      <w:r>
        <w:br/>
      </w:r>
      <w:r>
        <w:rPr>
          <w:rStyle w:val="Strong"/>
          <w:rtl/>
        </w:rPr>
        <w:t>ماده۲ـ</w:t>
      </w:r>
      <w:r>
        <w:rPr>
          <w:rtl/>
        </w:rPr>
        <w:t xml:space="preserve"> اشخـاص حقیـقی و حقوقی موضـوع ماده (۲) قـانون، مشـمول ایـن آیین‌نامه می‌باشند</w:t>
      </w:r>
      <w:r>
        <w:t>.</w:t>
      </w:r>
      <w:r>
        <w:br/>
      </w:r>
      <w:r>
        <w:rPr>
          <w:rStyle w:val="Strong"/>
          <w:rtl/>
        </w:rPr>
        <w:t>ماده۳ـ</w:t>
      </w:r>
      <w:r>
        <w:rPr>
          <w:rtl/>
        </w:rPr>
        <w:t xml:space="preserve"> تشویق‌های موضوع این آیین‌نامه به شرح ذیل تعیین می‌شود</w:t>
      </w:r>
      <w:r>
        <w:t>:</w:t>
      </w:r>
      <w:r>
        <w:br/>
      </w:r>
      <w:r>
        <w:rPr>
          <w:rtl/>
        </w:rPr>
        <w:t>الف ـ اعطای تقدیرنامه توسط بالاترین مقام اجرایی یا سایر مسئولین ذی‌ربط شخص حقوقی</w:t>
      </w:r>
      <w:r>
        <w:t>.</w:t>
      </w:r>
      <w:r>
        <w:br/>
      </w:r>
      <w:r>
        <w:rPr>
          <w:rtl/>
        </w:rPr>
        <w:t>ب ـ اعطای یک گروه تشویقی یا طبقه و مانند آن</w:t>
      </w:r>
      <w:r>
        <w:t>.</w:t>
      </w:r>
      <w:r>
        <w:br/>
      </w:r>
      <w:r>
        <w:rPr>
          <w:rtl/>
        </w:rPr>
        <w:t>پ ـ حق تقدم در انتصاب به مشاغل مدیریتی و یا بالاتر در شرایط مساوی</w:t>
      </w:r>
      <w:r>
        <w:t>.</w:t>
      </w:r>
      <w:r>
        <w:br/>
      </w:r>
      <w:r>
        <w:rPr>
          <w:rtl/>
        </w:rPr>
        <w:t>ت ـ پرداخت وجه نقدی معادل دو ماه حقوق فرد در زمان پرداخت</w:t>
      </w:r>
      <w:r>
        <w:t>.</w:t>
      </w:r>
      <w:r>
        <w:br/>
      </w:r>
      <w:r>
        <w:rPr>
          <w:rStyle w:val="Strong"/>
          <w:rtl/>
        </w:rPr>
        <w:t>تبصره۱ـ</w:t>
      </w:r>
      <w:r>
        <w:rPr>
          <w:rtl/>
        </w:rPr>
        <w:t xml:space="preserve"> مـیزان تعیـین شده در بند (ت) متناسب با نوع، میزان و اثرات جرم یا تخلف (فساد) تا شش ماه به تشخیص کمیته و یا مسئولین ذی‌ربط شخص حقوقی قابل افزایش است</w:t>
      </w:r>
      <w:r>
        <w:t>.</w:t>
      </w:r>
      <w:r>
        <w:br/>
      </w:r>
      <w:r>
        <w:rPr>
          <w:rStyle w:val="Strong"/>
          <w:rtl/>
        </w:rPr>
        <w:t>تبصره۲ـ</w:t>
      </w:r>
      <w:r>
        <w:rPr>
          <w:rtl/>
        </w:rPr>
        <w:t xml:space="preserve"> تشویق موضوع بند (ت) مانع از اعمال سایر بندهای این ماده نمی‌باشد</w:t>
      </w:r>
      <w:r>
        <w:t>.</w:t>
      </w:r>
      <w:r>
        <w:br/>
      </w:r>
      <w:r>
        <w:rPr>
          <w:rStyle w:val="Strong"/>
          <w:rtl/>
        </w:rPr>
        <w:t>تبصره۳ـ</w:t>
      </w:r>
      <w:r>
        <w:rPr>
          <w:rtl/>
        </w:rPr>
        <w:t xml:space="preserve"> تشخیص افرادی که در جهت تحقق بندهای ماده (۲۶</w:t>
      </w:r>
      <w:r>
        <w:t xml:space="preserve">) </w:t>
      </w:r>
      <w:r>
        <w:rPr>
          <w:rtl/>
        </w:rPr>
        <w:t>قانون اقدام نموده‌اند و تشویق‌های موضوع ماده (۳) به پیشنهاد مدیر ذی‌ربط و یا کمیته و تأیید بالاترین مقام اجرایی شخص حقوقی می‌باشد</w:t>
      </w:r>
      <w:r>
        <w:t>.</w:t>
      </w:r>
      <w:r>
        <w:br/>
      </w:r>
      <w:r>
        <w:rPr>
          <w:rStyle w:val="Strong"/>
          <w:rtl/>
        </w:rPr>
        <w:t>تبصره۴ـ</w:t>
      </w:r>
      <w:r>
        <w:rPr>
          <w:rStyle w:val="Strong"/>
        </w:rPr>
        <w:t> </w:t>
      </w:r>
      <w:r>
        <w:rPr>
          <w:rtl/>
        </w:rPr>
        <w:t>کارکنان و مقام‌هایی که حسب وظیفه سازمانی در ارتباط با سلامت نظام اداری و مقابله با فساد انجام وظیفه نموده و افراد متخلف را شناسایی و معرفی می‌نمایند، مشمول تشویق‌های مندرج در ماده (۳</w:t>
      </w:r>
      <w:r>
        <w:t xml:space="preserve">) </w:t>
      </w:r>
      <w:r>
        <w:rPr>
          <w:rtl/>
        </w:rPr>
        <w:t>این آیین‌نامه نمی‌شوند</w:t>
      </w:r>
      <w:r>
        <w:t>.</w:t>
      </w:r>
      <w:r>
        <w:br/>
      </w:r>
      <w:r>
        <w:rPr>
          <w:rStyle w:val="Strong"/>
          <w:rtl/>
        </w:rPr>
        <w:t>ماده۴ـ</w:t>
      </w:r>
      <w:r>
        <w:rPr>
          <w:rtl/>
        </w:rPr>
        <w:t xml:space="preserve"> تشویق‌های موضوع این آیین‌نامه در خصوص راه‌اندازی پایگاه‌های اطلاعاتی مکانیزه، منوط به رعایت مقررات و ضوابط فنی، اجرایی و امنیتی مصوب شورای عالی فناوری اطلاعات می‌باشد</w:t>
      </w:r>
      <w:r>
        <w:t>.</w:t>
      </w:r>
      <w:r>
        <w:br/>
      </w:r>
      <w:r>
        <w:rPr>
          <w:rStyle w:val="Strong"/>
          <w:rtl/>
        </w:rPr>
        <w:t>ماده۵ ـ</w:t>
      </w:r>
      <w:r>
        <w:rPr>
          <w:rtl/>
        </w:rPr>
        <w:t xml:space="preserve"> واحدهای منابع انسانی شخص حقوقی با رعایت محرمانه بودن، مسئول انجام مکاتبات و پیگیری هر یک از اقدامات و مراحل مذکور در این آیین‌نامه و اعلام نتیجه آن به ذی‌نفع و مقامات مافوق می‌باشند</w:t>
      </w:r>
      <w:r>
        <w:t>.</w:t>
      </w:r>
      <w:r>
        <w:br/>
      </w:r>
      <w:r>
        <w:rPr>
          <w:rStyle w:val="Strong"/>
          <w:rtl/>
        </w:rPr>
        <w:t>تبصره ـ</w:t>
      </w:r>
      <w:r>
        <w:rPr>
          <w:rtl/>
        </w:rPr>
        <w:t xml:space="preserve"> مبنای تشخیص تخلف یا جرم حسب مورد، آرای قطعی صادرشده از سوی مراجع رسیدگی به تخلفات انضباطی، انتظامی و اداری و مراجع ذی‌صلاح قضایی است</w:t>
      </w:r>
      <w:r>
        <w:t>.</w:t>
      </w:r>
      <w:r>
        <w:br/>
      </w:r>
      <w:r>
        <w:rPr>
          <w:rStyle w:val="Strong"/>
          <w:rtl/>
        </w:rPr>
        <w:t>ماده۶ ـ</w:t>
      </w:r>
      <w:r>
        <w:rPr>
          <w:rtl/>
        </w:rPr>
        <w:t xml:space="preserve"> اعتبارات موردنیاز جهت اجرای این آیین‌نامه در وزارتخانه‌ها و مؤسسات دولتی موضوع بندهای (الف) و (ب) ماده (۲) قانون در لوایح بودجه سالانه پیش‌بینی و در خصوص شرکتهای دولتی و نهادهای عمومی غیردولتی و سایر اشخاص حقوقی از محل منابع داخلی آنها و با رعایت قوانین و مقررات مربوط قابل پرداخت است</w:t>
      </w:r>
      <w:r>
        <w:t>.</w:t>
      </w:r>
      <w:r>
        <w:br/>
      </w:r>
      <w:r>
        <w:rPr>
          <w:rStyle w:val="Strong"/>
          <w:rtl/>
        </w:rPr>
        <w:t>ماده۷ـ</w:t>
      </w:r>
      <w:r>
        <w:rPr>
          <w:rtl/>
        </w:rPr>
        <w:t xml:space="preserve"> دستگاه‌های مشمول این آیین‌نامه موظفند اقدامات انجام شده موضوع این آیین‌نامه را به صورت سالانه (در پایان هر سال) به شورای دستگاه‌های نظارتی و معاونت توسعه مدیریت و سرمایه انسانی رئیس‌جمهور گزارش نمایند</w:t>
      </w:r>
      <w:r>
        <w:t>.</w:t>
      </w:r>
    </w:p>
    <w:sectPr w:rsidR="00FA6266" w:rsidSect="00520B7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C2"/>
    <w:rsid w:val="004370C2"/>
    <w:rsid w:val="00520B7B"/>
    <w:rsid w:val="00FA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72D91"/>
  <w15:chartTrackingRefBased/>
  <w15:docId w15:val="{615511C9-2CBF-4F2B-A94A-F4BAB01F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7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2192</Characters>
  <Application>Microsoft Office Word</Application>
  <DocSecurity>0</DocSecurity>
  <Lines>18</Lines>
  <Paragraphs>5</Paragraphs>
  <ScaleCrop>false</ScaleCrop>
  <Company>P30Download.com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 pazhoh co</dc:creator>
  <cp:keywords/>
  <dc:description/>
  <cp:lastModifiedBy>rayan pazhoh co</cp:lastModifiedBy>
  <cp:revision>1</cp:revision>
  <dcterms:created xsi:type="dcterms:W3CDTF">2022-08-10T08:21:00Z</dcterms:created>
  <dcterms:modified xsi:type="dcterms:W3CDTF">2022-08-10T08:22:00Z</dcterms:modified>
</cp:coreProperties>
</file>